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2076"/>
      </w:tblGrid>
      <w:tr w:rsidR="008E72D9" w14:paraId="6D3DBB79" w14:textId="77777777" w:rsidTr="008E72D9">
        <w:trPr>
          <w:trHeight w:val="303"/>
        </w:trPr>
        <w:tc>
          <w:tcPr>
            <w:tcW w:w="2076" w:type="dxa"/>
            <w:tcMar>
              <w:top w:w="0" w:type="dxa"/>
              <w:left w:w="0" w:type="dxa"/>
              <w:bottom w:w="0" w:type="dxa"/>
              <w:right w:w="0" w:type="dxa"/>
            </w:tcMar>
          </w:tcPr>
          <w:p w14:paraId="480A13C4" w14:textId="39ECA737" w:rsidR="008E72D9" w:rsidRDefault="008E72D9">
            <w:pPr>
              <w:spacing w:after="0"/>
            </w:pPr>
            <w:r>
              <w:rPr>
                <w:rFonts w:eastAsia="Times New Roman"/>
              </w:rPr>
              <w:t xml:space="preserve">Adopted: </w:t>
            </w:r>
            <w:r>
              <w:rPr>
                <w:rFonts w:eastAsia="Times New Roman"/>
              </w:rPr>
              <w:t>7.20.16</w:t>
            </w:r>
          </w:p>
        </w:tc>
      </w:tr>
      <w:tr w:rsidR="008E72D9" w14:paraId="1FE22B11" w14:textId="77777777" w:rsidTr="008E72D9">
        <w:trPr>
          <w:trHeight w:val="318"/>
        </w:trPr>
        <w:tc>
          <w:tcPr>
            <w:tcW w:w="2076" w:type="dxa"/>
            <w:tcMar>
              <w:top w:w="0" w:type="dxa"/>
              <w:left w:w="0" w:type="dxa"/>
              <w:bottom w:w="0" w:type="dxa"/>
              <w:right w:w="0" w:type="dxa"/>
            </w:tcMar>
          </w:tcPr>
          <w:p w14:paraId="744E00AC" w14:textId="649D5F9F" w:rsidR="008E72D9" w:rsidRDefault="008E72D9">
            <w:pPr>
              <w:spacing w:after="0"/>
            </w:pPr>
            <w:r>
              <w:rPr>
                <w:rFonts w:eastAsia="Times New Roman"/>
              </w:rPr>
              <w:t>Revised: 9.15.26</w:t>
            </w:r>
          </w:p>
        </w:tc>
      </w:tr>
    </w:tbl>
    <w:p w14:paraId="429AF6A1" w14:textId="77777777" w:rsidR="00BD0713" w:rsidRDefault="00BD0713">
      <w:pPr>
        <w:spacing w:after="0"/>
      </w:pPr>
    </w:p>
    <w:p w14:paraId="4DF454F4" w14:textId="77777777" w:rsidR="00BD0713" w:rsidRDefault="000D74A5">
      <w:pPr>
        <w:spacing w:after="0" w:line="240" w:lineRule="auto"/>
        <w:jc w:val="center"/>
      </w:pPr>
      <w:r>
        <w:rPr>
          <w:rFonts w:eastAsia="Times New Roman"/>
          <w:b/>
          <w:sz w:val="26"/>
        </w:rPr>
        <w:t>North Metro Flex Academy</w:t>
      </w:r>
    </w:p>
    <w:p w14:paraId="316C0602" w14:textId="77777777" w:rsidR="00BD0713" w:rsidRDefault="000D74A5">
      <w:pPr>
        <w:spacing w:after="0" w:line="240" w:lineRule="auto"/>
        <w:jc w:val="center"/>
      </w:pPr>
      <w:r>
        <w:rPr>
          <w:rFonts w:eastAsia="Times New Roman"/>
          <w:b/>
          <w:sz w:val="26"/>
        </w:rPr>
        <w:t>POLICY No. 4.1.1</w:t>
      </w:r>
    </w:p>
    <w:p w14:paraId="182F4DC0" w14:textId="77777777" w:rsidR="00BD0713" w:rsidRDefault="000D74A5">
      <w:pPr>
        <w:spacing w:after="0" w:line="240" w:lineRule="auto"/>
        <w:jc w:val="center"/>
      </w:pPr>
      <w:r>
        <w:rPr>
          <w:rFonts w:eastAsia="Times New Roman"/>
          <w:b/>
          <w:sz w:val="26"/>
        </w:rPr>
        <w:t>EQUAL EDUCATIONAL AND EMPLOYMENT OPPORTUNITY</w:t>
      </w:r>
    </w:p>
    <w:p w14:paraId="69C67C1D" w14:textId="77777777" w:rsidR="00BD0713" w:rsidRDefault="00BD0713">
      <w:pPr>
        <w:spacing w:after="0"/>
      </w:pPr>
    </w:p>
    <w:p w14:paraId="7E945BAB" w14:textId="77777777" w:rsidR="00BD0713" w:rsidRDefault="000D74A5">
      <w:pPr>
        <w:keepNext/>
        <w:tabs>
          <w:tab w:val="left" w:pos="835"/>
        </w:tabs>
        <w:spacing w:before="160" w:after="120"/>
      </w:pPr>
      <w:r>
        <w:rPr>
          <w:rFonts w:eastAsia="Times New Roman"/>
          <w:b/>
        </w:rPr>
        <w:t>I.</w:t>
      </w:r>
      <w:r>
        <w:tab/>
      </w:r>
      <w:r>
        <w:rPr>
          <w:rFonts w:eastAsia="Times New Roman"/>
          <w:b/>
        </w:rPr>
        <w:t>PURPOSE</w:t>
      </w:r>
    </w:p>
    <w:p w14:paraId="1C8DA7FC" w14:textId="77777777" w:rsidR="00BD0713" w:rsidRDefault="000D74A5">
      <w:pPr>
        <w:spacing w:after="120" w:line="245" w:lineRule="auto"/>
        <w:ind w:left="835"/>
      </w:pPr>
      <w:r>
        <w:rPr>
          <w:rFonts w:eastAsia="Times New Roman"/>
        </w:rPr>
        <w:t>It is the purpose of this policy to secure for all persons of North Metro Flex Academy (NMFA) freedom from unlawful discrimination in education and employment and to provide equal access to NMFA programs, services, activities, and employment opportunities.</w:t>
      </w:r>
    </w:p>
    <w:p w14:paraId="01722194" w14:textId="77777777" w:rsidR="00BD0713" w:rsidRDefault="000D74A5">
      <w:pPr>
        <w:keepNext/>
        <w:tabs>
          <w:tab w:val="left" w:pos="835"/>
        </w:tabs>
        <w:spacing w:before="160" w:after="120"/>
      </w:pPr>
      <w:r>
        <w:rPr>
          <w:rFonts w:eastAsia="Times New Roman"/>
          <w:b/>
        </w:rPr>
        <w:t>II.</w:t>
      </w:r>
      <w:r>
        <w:tab/>
      </w:r>
      <w:r>
        <w:rPr>
          <w:rFonts w:eastAsia="Times New Roman"/>
          <w:b/>
        </w:rPr>
        <w:t>POLICY STATEMENT</w:t>
      </w:r>
    </w:p>
    <w:p w14:paraId="127ED2A1" w14:textId="77777777" w:rsidR="00BD0713" w:rsidRDefault="000D74A5">
      <w:pPr>
        <w:spacing w:after="120" w:line="245" w:lineRule="auto"/>
        <w:ind w:left="835"/>
      </w:pPr>
      <w:r>
        <w:rPr>
          <w:rFonts w:eastAsia="Times New Roman"/>
        </w:rPr>
        <w:t>NMFA is committed to providing equal educational and employment opportunities in accordance with applicable state and federal law. NMFA will not unlawfully discriminate against any student, applicant, employee, or other person on any basis prohibited by the Minnesota Human Rights Act, Minn. Stat. Chapter 363A, as amended, or by other applicable state or federal law.</w:t>
      </w:r>
    </w:p>
    <w:p w14:paraId="2663363E" w14:textId="77777777" w:rsidR="00BD0713" w:rsidRDefault="000D74A5">
      <w:pPr>
        <w:keepNext/>
        <w:tabs>
          <w:tab w:val="left" w:pos="835"/>
        </w:tabs>
        <w:spacing w:before="160" w:after="120"/>
      </w:pPr>
      <w:r>
        <w:rPr>
          <w:rFonts w:eastAsia="Times New Roman"/>
          <w:b/>
        </w:rPr>
        <w:t>III.</w:t>
      </w:r>
      <w:r>
        <w:tab/>
      </w:r>
      <w:r>
        <w:rPr>
          <w:rFonts w:eastAsia="Times New Roman"/>
          <w:b/>
        </w:rPr>
        <w:t>POLICY</w:t>
      </w:r>
    </w:p>
    <w:p w14:paraId="4724C001" w14:textId="77777777" w:rsidR="00BD0713" w:rsidRDefault="000D74A5">
      <w:pPr>
        <w:tabs>
          <w:tab w:val="left" w:pos="1267"/>
        </w:tabs>
        <w:spacing w:after="120" w:line="245" w:lineRule="auto"/>
        <w:ind w:left="835" w:hanging="403"/>
      </w:pPr>
      <w:r>
        <w:rPr>
          <w:rFonts w:eastAsia="Times New Roman"/>
        </w:rPr>
        <w:t>A.</w:t>
      </w:r>
      <w:r>
        <w:rPr>
          <w:rFonts w:eastAsia="Times New Roman"/>
        </w:rPr>
        <w:tab/>
      </w:r>
      <w:r>
        <w:rPr>
          <w:rFonts w:eastAsia="Times New Roman"/>
        </w:rPr>
        <w:t>Equal Educational Opportunity. NMFA will provide equal educational opportunity for all students and applicants for admission. NMFA will not unlawfully discriminate in admission, enrollment, access to programs or services, discipline, extracurricular activities, or any other educational benefit on any basis prohibited by Minn. Stat. § 363A.13, as amended, or by other applicable state or federal law.</w:t>
      </w:r>
    </w:p>
    <w:p w14:paraId="67E6AF87" w14:textId="77777777" w:rsidR="00BD0713" w:rsidRDefault="000D74A5">
      <w:pPr>
        <w:tabs>
          <w:tab w:val="left" w:pos="1699"/>
        </w:tabs>
        <w:spacing w:after="120" w:line="245" w:lineRule="auto"/>
        <w:ind w:left="1267" w:hanging="403"/>
      </w:pPr>
      <w:r>
        <w:rPr>
          <w:rFonts w:eastAsia="Times New Roman"/>
        </w:rPr>
        <w:t>1.</w:t>
      </w:r>
      <w:r>
        <w:tab/>
      </w:r>
      <w:r>
        <w:rPr>
          <w:rFonts w:eastAsia="Times New Roman"/>
        </w:rPr>
        <w:t>NMFA will provide physical and program access for persons with disabilities and will provide reasonable accommodations, modifications, auxiliary aids, and services as required by the Minnesota Human Rights Act, Section 504 of the Rehabilitation Act, the Americans with Disabilities Act, the Individuals with Disabilities Education Act, and other applicable law.</w:t>
      </w:r>
    </w:p>
    <w:p w14:paraId="17E8C961" w14:textId="77777777" w:rsidR="00BD0713" w:rsidRDefault="000D74A5">
      <w:pPr>
        <w:tabs>
          <w:tab w:val="left" w:pos="1699"/>
        </w:tabs>
        <w:spacing w:after="120" w:line="245" w:lineRule="auto"/>
        <w:ind w:left="1267" w:hanging="403"/>
      </w:pPr>
      <w:r>
        <w:rPr>
          <w:rFonts w:eastAsia="Times New Roman"/>
        </w:rPr>
        <w:t>2.</w:t>
      </w:r>
      <w:r>
        <w:tab/>
      </w:r>
      <w:r>
        <w:rPr>
          <w:rFonts w:eastAsia="Times New Roman"/>
        </w:rPr>
        <w:t>When a student, parent or guardian, applicant, or other covered person requests an accommodation, or when NMFA otherwise has notice that an accommodation may be needed, NMFA will engage in a timely, individualized, good-faith process to determine whether a reasonable accommodation or other legally required support is available.</w:t>
      </w:r>
    </w:p>
    <w:p w14:paraId="588240F7" w14:textId="77777777" w:rsidR="00BD0713" w:rsidRDefault="000D74A5">
      <w:pPr>
        <w:tabs>
          <w:tab w:val="left" w:pos="1699"/>
        </w:tabs>
        <w:spacing w:after="120" w:line="245" w:lineRule="auto"/>
        <w:ind w:left="1267" w:hanging="403"/>
      </w:pPr>
      <w:r>
        <w:rPr>
          <w:rFonts w:eastAsia="Times New Roman"/>
        </w:rPr>
        <w:t>3.</w:t>
      </w:r>
      <w:r>
        <w:tab/>
      </w:r>
      <w:r>
        <w:rPr>
          <w:rFonts w:eastAsia="Times New Roman"/>
        </w:rPr>
        <w:t>Nothing in this policy limits or replaces NMFA obligations under special education law, Section 504, Title IX, or other laws requiring separate procedures or protections.</w:t>
      </w:r>
    </w:p>
    <w:p w14:paraId="18031C73" w14:textId="77777777" w:rsidR="00BD0713" w:rsidRDefault="000D74A5">
      <w:pPr>
        <w:tabs>
          <w:tab w:val="left" w:pos="1267"/>
        </w:tabs>
        <w:spacing w:after="120" w:line="245" w:lineRule="auto"/>
        <w:ind w:left="835" w:hanging="403"/>
      </w:pPr>
      <w:r>
        <w:rPr>
          <w:rFonts w:eastAsia="Times New Roman"/>
        </w:rPr>
        <w:t>B.</w:t>
      </w:r>
      <w:r>
        <w:rPr>
          <w:rFonts w:eastAsia="Times New Roman"/>
        </w:rPr>
        <w:tab/>
      </w:r>
      <w:r>
        <w:rPr>
          <w:rFonts w:eastAsia="Times New Roman"/>
        </w:rPr>
        <w:t>Equal Employment Opportunity. NMFA will provide equal employment opportunity to applicants and employees. NMFA will not unlawfully discriminate with respect to recruitment, hiring, assignment, compensation, promotion, tenure, training, discipline, discharge, or other terms, conditions, facilities, or privileges of employment on any basis prohibited by Minn. Stat. § 363A.08, as amended, or by other applicable state or federal law.</w:t>
      </w:r>
    </w:p>
    <w:p w14:paraId="4A671DA7" w14:textId="77777777" w:rsidR="00BD0713" w:rsidRDefault="000D74A5">
      <w:pPr>
        <w:tabs>
          <w:tab w:val="left" w:pos="1699"/>
        </w:tabs>
        <w:spacing w:after="120" w:line="245" w:lineRule="auto"/>
        <w:ind w:left="1267" w:hanging="403"/>
      </w:pPr>
      <w:r>
        <w:rPr>
          <w:rFonts w:eastAsia="Times New Roman"/>
        </w:rPr>
        <w:t>1.</w:t>
      </w:r>
      <w:r>
        <w:tab/>
      </w:r>
      <w:r>
        <w:rPr>
          <w:rFonts w:eastAsia="Times New Roman"/>
        </w:rPr>
        <w:t>NMFA will provide reasonable accommodations to qualified applicants and employees with disabilities and other accommodations required by law. NMFA will engage in a timely, individualized, good-faith process to determine whether a reasonable accommodation exists that would permit the individual to participate fully in employment, unless the accommodation is not required by applicable law.</w:t>
      </w:r>
    </w:p>
    <w:p w14:paraId="70E95A25" w14:textId="77777777" w:rsidR="00BD0713" w:rsidRDefault="000D74A5">
      <w:pPr>
        <w:tabs>
          <w:tab w:val="left" w:pos="1699"/>
        </w:tabs>
        <w:spacing w:after="120" w:line="245" w:lineRule="auto"/>
        <w:ind w:left="1267" w:hanging="403"/>
      </w:pPr>
      <w:r>
        <w:rPr>
          <w:rFonts w:eastAsia="Times New Roman"/>
        </w:rPr>
        <w:t>2.</w:t>
      </w:r>
      <w:r>
        <w:tab/>
      </w:r>
      <w:r>
        <w:rPr>
          <w:rFonts w:eastAsia="Times New Roman"/>
        </w:rPr>
        <w:t>NMFA will not inquire into, consider, or require disclosure of an applicant's pay history for the purpose of determining compensation except as expressly permitted by law. NMFA may discuss the compensation offered for a position and an applicant's compensation expectations or requests.</w:t>
      </w:r>
    </w:p>
    <w:p w14:paraId="43342C69" w14:textId="77777777" w:rsidR="00BD0713" w:rsidRDefault="000D74A5">
      <w:pPr>
        <w:tabs>
          <w:tab w:val="left" w:pos="1699"/>
        </w:tabs>
        <w:spacing w:after="120" w:line="245" w:lineRule="auto"/>
        <w:ind w:left="1267" w:hanging="403"/>
      </w:pPr>
      <w:r>
        <w:rPr>
          <w:rFonts w:eastAsia="Times New Roman"/>
        </w:rPr>
        <w:lastRenderedPageBreak/>
        <w:t>3.</w:t>
      </w:r>
      <w:r>
        <w:tab/>
      </w:r>
      <w:r>
        <w:rPr>
          <w:rFonts w:eastAsia="Times New Roman"/>
        </w:rPr>
        <w:t>Each administrator, supervisor, board member acting in an employment capacity, and staff member must comply with this policy. A violation may result in corrective or disciplinary action consistent with applicable contracts, policies, and law.</w:t>
      </w:r>
    </w:p>
    <w:p w14:paraId="4398926F" w14:textId="77777777" w:rsidR="00BD0713" w:rsidRDefault="000D74A5">
      <w:pPr>
        <w:tabs>
          <w:tab w:val="left" w:pos="1267"/>
        </w:tabs>
        <w:spacing w:after="120" w:line="245" w:lineRule="auto"/>
        <w:ind w:left="835" w:hanging="403"/>
      </w:pPr>
      <w:r>
        <w:rPr>
          <w:rFonts w:eastAsia="Times New Roman"/>
        </w:rPr>
        <w:t>C.</w:t>
      </w:r>
      <w:r>
        <w:tab/>
      </w:r>
      <w:r>
        <w:rPr>
          <w:rFonts w:eastAsia="Times New Roman"/>
          <w:b/>
        </w:rPr>
        <w:t xml:space="preserve">Complaints and Reporting. </w:t>
      </w:r>
      <w:r>
        <w:rPr>
          <w:rFonts w:eastAsia="Times New Roman"/>
        </w:rPr>
        <w:t>Employment discrimination, harassment, accommodation, and retaliation complaints will be addressed under Policy 4.5.1, Employment Nondiscrimination, Harassment, and Grievance Procedures. Student or educational discrimination complaints will be addressed under the applicable NMFA student nondiscrimination, Title IX, Section 504, bullying, harassment, or other legally required procedure.</w:t>
      </w:r>
    </w:p>
    <w:p w14:paraId="4F368171" w14:textId="77777777" w:rsidR="00BD0713" w:rsidRDefault="000D74A5">
      <w:pPr>
        <w:keepNext/>
        <w:tabs>
          <w:tab w:val="left" w:pos="835"/>
        </w:tabs>
        <w:spacing w:before="160" w:after="120"/>
      </w:pPr>
      <w:r>
        <w:rPr>
          <w:rFonts w:eastAsia="Times New Roman"/>
          <w:b/>
        </w:rPr>
        <w:t>IV.</w:t>
      </w:r>
      <w:r>
        <w:tab/>
      </w:r>
      <w:r>
        <w:rPr>
          <w:rFonts w:eastAsia="Times New Roman"/>
          <w:b/>
        </w:rPr>
        <w:t>REPRISALS</w:t>
      </w:r>
    </w:p>
    <w:p w14:paraId="7910B313" w14:textId="77777777" w:rsidR="00BD0713" w:rsidRDefault="000D74A5">
      <w:pPr>
        <w:spacing w:after="120" w:line="245" w:lineRule="auto"/>
        <w:ind w:left="835"/>
      </w:pPr>
      <w:r>
        <w:rPr>
          <w:rFonts w:eastAsia="Times New Roman"/>
        </w:rPr>
        <w:t>NMFA prohibits reprisal or retaliation against any person because the person opposed a practice prohibited by law or policy; made or supported a report or complaint; filed a charge; testified, assisted, or participated in an investigation, proceeding, or hearing; requested an accommodation; or engaged in other legally protected activity. NMFA also prohibits retaliation based on protected association as provided by law. Reprisal includes intimidation, retaliation, harassment, or other materially adverse acti</w:t>
      </w:r>
      <w:r>
        <w:rPr>
          <w:rFonts w:eastAsia="Times New Roman"/>
        </w:rPr>
        <w:t>on prohibited by applicable law.</w:t>
      </w:r>
    </w:p>
    <w:p w14:paraId="10B2D6BE" w14:textId="77777777" w:rsidR="00BD0713" w:rsidRDefault="000D74A5">
      <w:pPr>
        <w:keepNext/>
        <w:tabs>
          <w:tab w:val="left" w:pos="835"/>
        </w:tabs>
        <w:spacing w:before="160" w:after="120"/>
      </w:pPr>
      <w:r>
        <w:rPr>
          <w:rFonts w:eastAsia="Times New Roman"/>
          <w:b/>
        </w:rPr>
        <w:t>V.</w:t>
      </w:r>
      <w:r>
        <w:tab/>
      </w:r>
      <w:r>
        <w:rPr>
          <w:rFonts w:eastAsia="Times New Roman"/>
          <w:b/>
        </w:rPr>
        <w:t>ADMINISTRATION AND DISSEMINATION</w:t>
      </w:r>
    </w:p>
    <w:p w14:paraId="37E4EDCC" w14:textId="77777777" w:rsidR="00BD0713" w:rsidRDefault="000D74A5">
      <w:pPr>
        <w:tabs>
          <w:tab w:val="left" w:pos="1267"/>
        </w:tabs>
        <w:spacing w:after="120" w:line="245" w:lineRule="auto"/>
        <w:ind w:left="835" w:hanging="403"/>
      </w:pPr>
      <w:r>
        <w:rPr>
          <w:rFonts w:eastAsia="Times New Roman"/>
        </w:rPr>
        <w:t>A.</w:t>
      </w:r>
      <w:r>
        <w:tab/>
      </w:r>
      <w:r>
        <w:rPr>
          <w:rFonts w:eastAsia="Times New Roman"/>
        </w:rPr>
        <w:t>The Executive Director or designee is responsible for implementing this policy and for ensuring that appropriate coordinators and compliance officials are designated as required by law.</w:t>
      </w:r>
    </w:p>
    <w:p w14:paraId="64837C7B" w14:textId="77777777" w:rsidR="00BD0713" w:rsidRDefault="000D74A5">
      <w:pPr>
        <w:tabs>
          <w:tab w:val="left" w:pos="1267"/>
        </w:tabs>
        <w:spacing w:after="120" w:line="245" w:lineRule="auto"/>
        <w:ind w:left="835" w:hanging="403"/>
      </w:pPr>
      <w:r>
        <w:rPr>
          <w:rFonts w:eastAsia="Times New Roman"/>
        </w:rPr>
        <w:t>B.</w:t>
      </w:r>
      <w:r>
        <w:tab/>
      </w:r>
      <w:r>
        <w:rPr>
          <w:rFonts w:eastAsia="Times New Roman"/>
        </w:rPr>
        <w:t>NMFA will make this policy available to students, families, employees, applicants, and the public through appropriate handbooks, notices, and the school website. Required nondiscrimination notices and the current contact information for designated compliance officials will be maintained separately so that they may be updated without requiring a policy amendment.</w:t>
      </w:r>
    </w:p>
    <w:p w14:paraId="234B5E91" w14:textId="77777777" w:rsidR="00BD0713" w:rsidRDefault="000D74A5">
      <w:pPr>
        <w:tabs>
          <w:tab w:val="left" w:pos="1267"/>
        </w:tabs>
        <w:spacing w:after="120" w:line="245" w:lineRule="auto"/>
        <w:ind w:left="835" w:hanging="403"/>
      </w:pPr>
      <w:r>
        <w:rPr>
          <w:rFonts w:eastAsia="Times New Roman"/>
        </w:rPr>
        <w:t>C.</w:t>
      </w:r>
      <w:r>
        <w:tab/>
      </w:r>
      <w:r>
        <w:rPr>
          <w:rFonts w:eastAsia="Times New Roman"/>
        </w:rPr>
        <w:t>This policy will be reviewed periodically and revised as necessary to remain consistent with applicable state and federal law.</w:t>
      </w:r>
    </w:p>
    <w:p w14:paraId="1D779906" w14:textId="77777777" w:rsidR="00BD0713" w:rsidRDefault="000D74A5">
      <w:pPr>
        <w:keepNext/>
        <w:spacing w:before="180" w:after="40"/>
      </w:pPr>
      <w:r>
        <w:rPr>
          <w:rFonts w:eastAsia="Times New Roman"/>
          <w:b/>
          <w:i/>
          <w:sz w:val="20"/>
        </w:rPr>
        <w:t>Legal References:</w:t>
      </w:r>
    </w:p>
    <w:p w14:paraId="10364570" w14:textId="77777777" w:rsidR="00BD0713" w:rsidRDefault="000D74A5">
      <w:pPr>
        <w:spacing w:after="30" w:line="240" w:lineRule="auto"/>
        <w:ind w:left="1512" w:hanging="216"/>
      </w:pPr>
      <w:r>
        <w:rPr>
          <w:rFonts w:eastAsia="Times New Roman"/>
          <w:sz w:val="18"/>
        </w:rPr>
        <w:t>Minn. Stat. § 124E.03, subds. 2-4 (Applicable Law for Charter Schools)</w:t>
      </w:r>
    </w:p>
    <w:p w14:paraId="0D128D64" w14:textId="77777777" w:rsidR="00BD0713" w:rsidRDefault="000D74A5">
      <w:pPr>
        <w:spacing w:after="30" w:line="240" w:lineRule="auto"/>
        <w:ind w:left="1512" w:hanging="216"/>
      </w:pPr>
      <w:r>
        <w:rPr>
          <w:rFonts w:eastAsia="Times New Roman"/>
          <w:sz w:val="18"/>
        </w:rPr>
        <w:t>Minn. Stat. §§ 363A.02, 363A.03, 363A.08, 363A.13, and 363A.15 (Minnesota Human Rights Act)</w:t>
      </w:r>
    </w:p>
    <w:p w14:paraId="1BC6F58B" w14:textId="77777777" w:rsidR="00BD0713" w:rsidRDefault="000D74A5">
      <w:pPr>
        <w:spacing w:after="30" w:line="240" w:lineRule="auto"/>
        <w:ind w:left="1512" w:hanging="216"/>
      </w:pPr>
      <w:r>
        <w:rPr>
          <w:rFonts w:eastAsia="Times New Roman"/>
          <w:sz w:val="18"/>
        </w:rPr>
        <w:t>Minn. Laws 2026, ch. 99, § 1 (reasonable accommodation process)</w:t>
      </w:r>
    </w:p>
    <w:p w14:paraId="3AC6A286" w14:textId="77777777" w:rsidR="00BD0713" w:rsidRDefault="000D74A5">
      <w:pPr>
        <w:spacing w:after="30" w:line="240" w:lineRule="auto"/>
        <w:ind w:left="1512" w:hanging="216"/>
      </w:pPr>
      <w:r>
        <w:rPr>
          <w:rFonts w:eastAsia="Times New Roman"/>
          <w:sz w:val="18"/>
        </w:rPr>
        <w:t>Minn. Stat. § 181.932 (Disclosure of Information by Employees / Whistleblower Protection)</w:t>
      </w:r>
    </w:p>
    <w:p w14:paraId="7155BE07" w14:textId="77777777" w:rsidR="00BD0713" w:rsidRDefault="000D74A5">
      <w:pPr>
        <w:spacing w:after="30" w:line="240" w:lineRule="auto"/>
        <w:ind w:left="1512" w:hanging="216"/>
      </w:pPr>
      <w:r>
        <w:rPr>
          <w:rFonts w:eastAsia="Times New Roman"/>
          <w:sz w:val="18"/>
        </w:rPr>
        <w:t>42 U.S.C. § 2000d et seq. (Title VI of the Civil Rights Act of 1964)</w:t>
      </w:r>
    </w:p>
    <w:p w14:paraId="0167FA19" w14:textId="77777777" w:rsidR="00BD0713" w:rsidRDefault="000D74A5">
      <w:pPr>
        <w:spacing w:after="30" w:line="240" w:lineRule="auto"/>
        <w:ind w:left="1512" w:hanging="216"/>
      </w:pPr>
      <w:r>
        <w:rPr>
          <w:rFonts w:eastAsia="Times New Roman"/>
          <w:sz w:val="18"/>
        </w:rPr>
        <w:t>42 U.S.C. § 2000e et seq. (Title VII of the Civil Rights Act of 1964)</w:t>
      </w:r>
    </w:p>
    <w:p w14:paraId="0CF245C3" w14:textId="77777777" w:rsidR="00BD0713" w:rsidRDefault="000D74A5">
      <w:pPr>
        <w:spacing w:after="30" w:line="240" w:lineRule="auto"/>
        <w:ind w:left="1512" w:hanging="216"/>
      </w:pPr>
      <w:r>
        <w:rPr>
          <w:rFonts w:eastAsia="Times New Roman"/>
          <w:sz w:val="18"/>
        </w:rPr>
        <w:t>20 U.S.C. § 1681 et seq. (Title IX of the Education Amendments of 1972)</w:t>
      </w:r>
    </w:p>
    <w:p w14:paraId="456AF18E" w14:textId="77777777" w:rsidR="00BD0713" w:rsidRDefault="000D74A5">
      <w:pPr>
        <w:spacing w:after="30" w:line="240" w:lineRule="auto"/>
        <w:ind w:left="1512" w:hanging="216"/>
      </w:pPr>
      <w:r>
        <w:rPr>
          <w:rFonts w:eastAsia="Times New Roman"/>
          <w:sz w:val="18"/>
        </w:rPr>
        <w:t>29 U.S.C. § 794 (Section 504 of the Rehabilitation Act of 1973)</w:t>
      </w:r>
    </w:p>
    <w:p w14:paraId="32C19DE8" w14:textId="77777777" w:rsidR="00BD0713" w:rsidRDefault="000D74A5">
      <w:pPr>
        <w:spacing w:after="30" w:line="240" w:lineRule="auto"/>
        <w:ind w:left="1512" w:hanging="216"/>
      </w:pPr>
      <w:r>
        <w:rPr>
          <w:rFonts w:eastAsia="Times New Roman"/>
          <w:sz w:val="18"/>
        </w:rPr>
        <w:t>42 U.S.C. § 12101 et seq. (Americans with Disabilities Act)</w:t>
      </w:r>
    </w:p>
    <w:p w14:paraId="48D389D3" w14:textId="77777777" w:rsidR="00BD0713" w:rsidRDefault="000D74A5">
      <w:pPr>
        <w:spacing w:after="30" w:line="240" w:lineRule="auto"/>
        <w:ind w:left="1512" w:hanging="216"/>
      </w:pPr>
      <w:r>
        <w:rPr>
          <w:rFonts w:eastAsia="Times New Roman"/>
          <w:sz w:val="18"/>
        </w:rPr>
        <w:t>29 U.S.C. § 621 et seq. (Age Discrimination in Employment Act)</w:t>
      </w:r>
    </w:p>
    <w:p w14:paraId="765B347F" w14:textId="77777777" w:rsidR="00BD0713" w:rsidRDefault="000D74A5">
      <w:pPr>
        <w:spacing w:after="30" w:line="240" w:lineRule="auto"/>
        <w:ind w:left="1512" w:hanging="216"/>
      </w:pPr>
      <w:r>
        <w:rPr>
          <w:rFonts w:eastAsia="Times New Roman"/>
          <w:sz w:val="18"/>
        </w:rPr>
        <w:t>29 U.S.C. § 206(d) (Equal Pay Act)</w:t>
      </w:r>
    </w:p>
    <w:p w14:paraId="23F9EBF7" w14:textId="77777777" w:rsidR="00BD0713" w:rsidRDefault="000D74A5">
      <w:pPr>
        <w:spacing w:after="30" w:line="240" w:lineRule="auto"/>
        <w:ind w:left="1512" w:hanging="216"/>
      </w:pPr>
      <w:r>
        <w:rPr>
          <w:rFonts w:eastAsia="Times New Roman"/>
          <w:sz w:val="18"/>
        </w:rPr>
        <w:t>42 U.S.C. § 2000ff et seq. (Genetic Information Nondiscrimination Act)</w:t>
      </w:r>
    </w:p>
    <w:p w14:paraId="45DE3813" w14:textId="77777777" w:rsidR="00BD0713" w:rsidRDefault="000D74A5">
      <w:pPr>
        <w:spacing w:after="30" w:line="240" w:lineRule="auto"/>
        <w:ind w:left="1512" w:hanging="216"/>
      </w:pPr>
      <w:r>
        <w:rPr>
          <w:rFonts w:eastAsia="Times New Roman"/>
          <w:sz w:val="18"/>
        </w:rPr>
        <w:t>42 U.S.C. § 2000gg et seq. (Pregnant Workers Fairness Act)</w:t>
      </w:r>
    </w:p>
    <w:p w14:paraId="791A0678" w14:textId="77777777" w:rsidR="00BD0713" w:rsidRDefault="000D74A5">
      <w:pPr>
        <w:keepNext/>
        <w:spacing w:before="100" w:after="40"/>
      </w:pPr>
      <w:r>
        <w:rPr>
          <w:rFonts w:eastAsia="Times New Roman"/>
          <w:b/>
          <w:i/>
          <w:sz w:val="20"/>
        </w:rPr>
        <w:t>Cross References:</w:t>
      </w:r>
    </w:p>
    <w:p w14:paraId="76771410" w14:textId="77777777" w:rsidR="00BD0713" w:rsidRDefault="000D74A5">
      <w:pPr>
        <w:spacing w:after="30" w:line="240" w:lineRule="auto"/>
        <w:ind w:left="1512" w:hanging="216"/>
      </w:pPr>
      <w:r>
        <w:rPr>
          <w:rFonts w:eastAsia="Times New Roman"/>
          <w:sz w:val="18"/>
        </w:rPr>
        <w:t>NMFA Policy 4.5.1, Employment Nondiscrimination, Harassment, and Grievance Procedures</w:t>
      </w:r>
    </w:p>
    <w:p w14:paraId="5149AE5C" w14:textId="77777777" w:rsidR="00BD0713" w:rsidRDefault="000D74A5">
      <w:pPr>
        <w:spacing w:after="30" w:line="240" w:lineRule="auto"/>
        <w:ind w:left="1512" w:hanging="216"/>
      </w:pPr>
      <w:r>
        <w:rPr>
          <w:rFonts w:eastAsia="Times New Roman"/>
          <w:sz w:val="18"/>
        </w:rPr>
        <w:t>Applicable NMFA Title IX, Section 504, bullying, harassment/violence, and malicious and sadistic conduct policies and procedures</w:t>
      </w:r>
    </w:p>
    <w:sectPr w:rsidR="00BD0713" w:rsidSect="00034616">
      <w:footerReference w:type="default" r:id="rId8"/>
      <w:pgSz w:w="12240" w:h="15840"/>
      <w:pgMar w:top="936" w:right="1037"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B5603" w14:textId="77777777" w:rsidR="000D74A5" w:rsidRDefault="000D74A5">
      <w:pPr>
        <w:spacing w:after="0" w:line="240" w:lineRule="auto"/>
      </w:pPr>
      <w:r>
        <w:separator/>
      </w:r>
    </w:p>
  </w:endnote>
  <w:endnote w:type="continuationSeparator" w:id="0">
    <w:p w14:paraId="0AA157AC" w14:textId="77777777" w:rsidR="000D74A5" w:rsidRDefault="000D7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4CC5F" w14:textId="77777777" w:rsidR="00BD0713" w:rsidRDefault="000D74A5">
    <w:pPr>
      <w:pStyle w:val="Footer"/>
      <w:pBdr>
        <w:top w:val="single" w:sz="4" w:space="2" w:color="808080"/>
      </w:pBdr>
      <w:spacing w:before="40"/>
      <w:jc w:val="right"/>
    </w:pPr>
    <w:r>
      <w:rPr>
        <w:rFonts w:eastAsia="Times New Roman"/>
        <w:sz w:val="18"/>
      </w:rPr>
      <w:t xml:space="preserve">Page </w:t>
    </w:r>
    <w:r>
      <w:rPr>
        <w:rFonts w:eastAsia="Times New Roman"/>
        <w:sz w:val="18"/>
      </w:rPr>
      <w:fldChar w:fldCharType="begin"/>
    </w:r>
    <w:r>
      <w:rPr>
        <w:rFonts w:eastAsia="Times New Roman"/>
        <w:sz w:val="18"/>
      </w:rPr>
      <w:instrText>PAGE</w:instrText>
    </w:r>
    <w:r>
      <w:rPr>
        <w:rFonts w:eastAsia="Times New Roman"/>
        <w:sz w:val="18"/>
      </w:rPr>
      <w:fldChar w:fldCharType="separate"/>
    </w:r>
    <w:r>
      <w:rPr>
        <w:rFonts w:eastAsia="Times New Roman"/>
        <w:sz w:val="18"/>
      </w:rPr>
      <w:t>1</w:t>
    </w:r>
    <w:r>
      <w:rPr>
        <w:rFonts w:eastAsia="Times New Roman"/>
        <w:sz w:val="18"/>
      </w:rPr>
      <w:fldChar w:fldCharType="end"/>
    </w:r>
    <w:r>
      <w:rPr>
        <w:rFonts w:eastAsia="Times New Roman"/>
        <w:sz w:val="18"/>
      </w:rPr>
      <w:t xml:space="preserve"> of </w:t>
    </w:r>
    <w:r>
      <w:rPr>
        <w:rFonts w:eastAsia="Times New Roman"/>
        <w:sz w:val="18"/>
      </w:rPr>
      <w:fldChar w:fldCharType="begin"/>
    </w:r>
    <w:r>
      <w:rPr>
        <w:rFonts w:eastAsia="Times New Roman"/>
        <w:sz w:val="18"/>
      </w:rPr>
      <w:instrText>NUMPAGES</w:instrText>
    </w:r>
    <w:r>
      <w:rPr>
        <w:rFonts w:eastAsia="Times New Roman"/>
        <w:sz w:val="18"/>
      </w:rPr>
      <w:fldChar w:fldCharType="separate"/>
    </w:r>
    <w:r>
      <w:rPr>
        <w:rFonts w:eastAsia="Times New Roman"/>
        <w:sz w:val="18"/>
      </w:rPr>
      <w:t>1</w:t>
    </w:r>
    <w:r>
      <w:rPr>
        <w:rFonts w:eastAsia="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8A128" w14:textId="77777777" w:rsidR="000D74A5" w:rsidRDefault="000D74A5">
      <w:pPr>
        <w:spacing w:after="0" w:line="240" w:lineRule="auto"/>
      </w:pPr>
      <w:r>
        <w:separator/>
      </w:r>
    </w:p>
  </w:footnote>
  <w:footnote w:type="continuationSeparator" w:id="0">
    <w:p w14:paraId="21F79D3A" w14:textId="77777777" w:rsidR="000D74A5" w:rsidRDefault="000D74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1589719">
    <w:abstractNumId w:val="8"/>
  </w:num>
  <w:num w:numId="2" w16cid:durableId="2127386131">
    <w:abstractNumId w:val="6"/>
  </w:num>
  <w:num w:numId="3" w16cid:durableId="929778453">
    <w:abstractNumId w:val="5"/>
  </w:num>
  <w:num w:numId="4" w16cid:durableId="1778207167">
    <w:abstractNumId w:val="4"/>
  </w:num>
  <w:num w:numId="5" w16cid:durableId="168833791">
    <w:abstractNumId w:val="7"/>
  </w:num>
  <w:num w:numId="6" w16cid:durableId="1244994683">
    <w:abstractNumId w:val="3"/>
  </w:num>
  <w:num w:numId="7" w16cid:durableId="976184888">
    <w:abstractNumId w:val="2"/>
  </w:num>
  <w:num w:numId="8" w16cid:durableId="70086853">
    <w:abstractNumId w:val="1"/>
  </w:num>
  <w:num w:numId="9" w16cid:durableId="663162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74A5"/>
    <w:rsid w:val="0015074B"/>
    <w:rsid w:val="0029639D"/>
    <w:rsid w:val="00326F90"/>
    <w:rsid w:val="00850064"/>
    <w:rsid w:val="008E72D9"/>
    <w:rsid w:val="00AA1D8D"/>
    <w:rsid w:val="00B47730"/>
    <w:rsid w:val="00BD071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010DBB"/>
  <w14:defaultImageDpi w14:val="300"/>
  <w15:docId w15:val="{69E1E92F-A54B-4EEB-B029-78750796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935</Words>
  <Characters>5335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Kyle Johnson</cp:lastModifiedBy>
  <cp:revision>2</cp:revision>
  <dcterms:created xsi:type="dcterms:W3CDTF">2026-09-16T21:21:00Z</dcterms:created>
  <dcterms:modified xsi:type="dcterms:W3CDTF">2026-09-16T21:21:00Z</dcterms:modified>
  <cp:category/>
</cp:coreProperties>
</file>